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357FCE">
        <w:rPr>
          <w:rFonts w:ascii="Times New Roman" w:hAnsi="Times New Roman"/>
          <w:szCs w:val="24"/>
        </w:rPr>
        <w:tab/>
      </w:r>
      <w:r w:rsidR="00357FCE">
        <w:rPr>
          <w:rFonts w:ascii="Times New Roman" w:hAnsi="Times New Roman"/>
          <w:szCs w:val="24"/>
        </w:rPr>
        <w:tab/>
      </w:r>
      <w:r w:rsidR="00605828">
        <w:rPr>
          <w:rFonts w:ascii="Times New Roman" w:hAnsi="Times New Roman"/>
          <w:szCs w:val="24"/>
        </w:rPr>
        <w:t>Language Arts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257454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605828">
        <w:rPr>
          <w:rFonts w:ascii="Times New Roman" w:hAnsi="Times New Roman"/>
          <w:szCs w:val="24"/>
        </w:rPr>
        <w:t xml:space="preserve"> WS 2-4, Wagner grade </w:t>
      </w:r>
      <w:proofErr w:type="gramStart"/>
      <w:r w:rsidR="00605828">
        <w:rPr>
          <w:rFonts w:ascii="Times New Roman" w:hAnsi="Times New Roman"/>
          <w:szCs w:val="24"/>
        </w:rPr>
        <w:t>4</w:t>
      </w:r>
      <w:proofErr w:type="gramEnd"/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605828">
        <w:rPr>
          <w:rFonts w:ascii="Times New Roman" w:hAnsi="Times New Roman"/>
          <w:szCs w:val="24"/>
        </w:rPr>
        <w:t xml:space="preserve"> Jason Knebel and Gwyneth Dean-Witte</w:t>
      </w: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  <w:p w:rsidR="00433344" w:rsidRPr="00433344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>
        <w:trPr>
          <w:trHeight w:val="447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B95" w:rsidRPr="00746440" w:rsidRDefault="00813B95" w:rsidP="00257454">
            <w:pPr>
              <w:pStyle w:val="Default"/>
            </w:pP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Default="00433344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Language Arts</w:t>
            </w:r>
          </w:p>
          <w:p w:rsidR="00433344" w:rsidRDefault="00433344" w:rsidP="00433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3.R.3.1 Students can identify and describe literary elements</w:t>
            </w:r>
          </w:p>
          <w:p w:rsidR="00904AF6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4"/>
              </w:rPr>
              <w:t>and</w:t>
            </w:r>
            <w:proofErr w:type="gramEnd"/>
            <w:r>
              <w:rPr>
                <w:rFonts w:ascii="Times New Roman" w:hAnsi="Times New Roman"/>
                <w:b/>
                <w:bCs/>
                <w:szCs w:val="24"/>
              </w:rPr>
              <w:t xml:space="preserve"> devices in literature.</w:t>
            </w:r>
          </w:p>
          <w:p w:rsidR="00433344" w:rsidRDefault="00433344" w:rsidP="00433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3.R.4.1 Students can respond to ideas and attitudes expressed</w:t>
            </w:r>
          </w:p>
          <w:p w:rsidR="00433344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4"/>
              </w:rPr>
              <w:t>in</w:t>
            </w:r>
            <w:proofErr w:type="gramEnd"/>
            <w:r>
              <w:rPr>
                <w:rFonts w:ascii="Times New Roman" w:hAnsi="Times New Roman"/>
                <w:b/>
                <w:bCs/>
                <w:szCs w:val="24"/>
              </w:rPr>
              <w:t xml:space="preserve"> multicultural and historical texts by making connections.</w:t>
            </w:r>
          </w:p>
          <w:p w:rsidR="00433344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33344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Technology:</w:t>
            </w:r>
          </w:p>
          <w:p w:rsidR="00433344" w:rsidRDefault="00433344" w:rsidP="0043334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3.CT.1.1 Identify parts of an operating system environment </w:t>
            </w:r>
          </w:p>
          <w:p w:rsidR="00433344" w:rsidRDefault="00433344" w:rsidP="00433344">
            <w:pPr>
              <w:ind w:right="-24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b/>
                <w:bCs/>
                <w:sz w:val="20"/>
              </w:rPr>
              <w:t xml:space="preserve">Example: </w:t>
            </w:r>
            <w:r>
              <w:rPr>
                <w:sz w:val="20"/>
              </w:rPr>
              <w:t xml:space="preserve">Desktop, start menu, quick-launch bar/ dock, icons, and menu bar </w:t>
            </w:r>
          </w:p>
          <w:p w:rsidR="008019C8" w:rsidRDefault="008019C8" w:rsidP="008019C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4.NC.1.1 Distinguish how changes in technological tools affect outcomes – </w:t>
            </w:r>
          </w:p>
          <w:p w:rsidR="008019C8" w:rsidRDefault="008019C8" w:rsidP="008019C8">
            <w:pPr>
              <w:pStyle w:val="Default"/>
            </w:pPr>
            <w:proofErr w:type="gramStart"/>
            <w:r>
              <w:rPr>
                <w:b/>
                <w:bCs/>
                <w:sz w:val="20"/>
                <w:szCs w:val="20"/>
              </w:rPr>
              <w:t>4.SI.2.1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Distinguish advantages and disadvantages of technology on society. </w:t>
            </w:r>
          </w:p>
          <w:p w:rsidR="008019C8" w:rsidRDefault="008019C8" w:rsidP="008019C8">
            <w:pPr>
              <w:pStyle w:val="Default"/>
            </w:pPr>
          </w:p>
          <w:p w:rsidR="00433344" w:rsidRDefault="00433344" w:rsidP="00433344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904AF6" w:rsidRDefault="00904AF6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904AF6" w:rsidRDefault="00904AF6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904AF6" w:rsidRPr="00746440" w:rsidRDefault="00904AF6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Mr. Knebel, grade 4 </w:t>
            </w:r>
            <w:proofErr w:type="gramStart"/>
            <w:r>
              <w:rPr>
                <w:rFonts w:ascii="Times New Roman" w:hAnsi="Times New Roman"/>
                <w:szCs w:val="24"/>
              </w:rPr>
              <w:t>teacher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from Wagner, and I used a </w:t>
            </w:r>
            <w:proofErr w:type="spellStart"/>
            <w:r>
              <w:rPr>
                <w:rFonts w:ascii="Times New Roman" w:hAnsi="Times New Roman"/>
                <w:szCs w:val="24"/>
              </w:rPr>
              <w:t>blog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to communicate about a novel we both read aloud to our classes. </w:t>
            </w:r>
          </w:p>
          <w:p w:rsidR="00605828" w:rsidRDefault="00634C5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We divided</w:t>
            </w:r>
            <w:r w:rsidR="00605828">
              <w:rPr>
                <w:rFonts w:ascii="Times New Roman" w:hAnsi="Times New Roman"/>
                <w:szCs w:val="24"/>
              </w:rPr>
              <w:t xml:space="preserve"> the book into four sections and read one section each week.</w:t>
            </w:r>
          </w:p>
          <w:p w:rsidR="00605828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We took turns summarizing and reflecting on the book first.  Then the other teacher would reply to our post.</w:t>
            </w:r>
          </w:p>
          <w:p w:rsidR="00605828" w:rsidRPr="00746440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The next week, the other class posted the summary and reflection first.</w:t>
            </w:r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Technology Integrated into Project:</w:t>
            </w:r>
          </w:p>
          <w:p w:rsidR="00605828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We used blogger.com to create a WOW Shared Reading Blog</w:t>
            </w:r>
          </w:p>
          <w:p w:rsidR="00605828" w:rsidRDefault="008E7FA2" w:rsidP="005364B0">
            <w:pPr>
              <w:ind w:right="-240"/>
              <w:rPr>
                <w:rFonts w:ascii="Times New Roman" w:hAnsi="Times New Roman"/>
                <w:szCs w:val="24"/>
              </w:rPr>
            </w:pPr>
            <w:hyperlink r:id="rId6" w:history="1">
              <w:r w:rsidR="00605828" w:rsidRPr="00977C79">
                <w:rPr>
                  <w:rStyle w:val="Hyperlink"/>
                  <w:rFonts w:ascii="Times New Roman" w:hAnsi="Times New Roman"/>
                  <w:szCs w:val="24"/>
                </w:rPr>
                <w:t>http://wswagnerreading.blogspot.com/</w:t>
              </w:r>
            </w:hyperlink>
          </w:p>
          <w:p w:rsidR="00605828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We did this as a whole group using the promethean board.  </w:t>
            </w:r>
            <w:proofErr w:type="gramStart"/>
            <w:r>
              <w:rPr>
                <w:rFonts w:ascii="Times New Roman" w:hAnsi="Times New Roman"/>
                <w:szCs w:val="24"/>
              </w:rPr>
              <w:t>We blogged as a class, with the teacher typing.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The students were not individually on the blog.</w:t>
            </w:r>
          </w:p>
          <w:p w:rsidR="00DC242C" w:rsidRPr="00746440" w:rsidRDefault="00DC242C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Pr="00746440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Students will know….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</w:t>
            </w:r>
            <w:proofErr w:type="gramStart"/>
            <w:r w:rsidRPr="00746440">
              <w:rPr>
                <w:rFonts w:ascii="Times New Roman" w:hAnsi="Times New Roman"/>
                <w:szCs w:val="24"/>
              </w:rPr>
              <w:t>…..</w:t>
            </w:r>
            <w:proofErr w:type="gramEnd"/>
          </w:p>
          <w:p w:rsidR="00605828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After listening to oral reading, students will be able to write a short summary.</w:t>
            </w:r>
          </w:p>
          <w:p w:rsidR="00605828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After listening to oral reading, students will be able to </w:t>
            </w:r>
            <w:r w:rsidR="00433344">
              <w:rPr>
                <w:rFonts w:ascii="Times New Roman" w:hAnsi="Times New Roman"/>
                <w:szCs w:val="24"/>
              </w:rPr>
              <w:t xml:space="preserve">reflect on their thinking, ask questions, and make predictions about the reading. </w:t>
            </w:r>
          </w:p>
          <w:p w:rsidR="00605828" w:rsidRPr="00746440" w:rsidRDefault="00605828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F6" w:rsidRDefault="00605828" w:rsidP="00257454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How a blog is organized.</w:t>
            </w:r>
          </w:p>
          <w:p w:rsidR="00605828" w:rsidRDefault="00605828" w:rsidP="00257454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How distant groups can communicate with each other using a blog.</w:t>
            </w:r>
          </w:p>
          <w:p w:rsidR="00605828" w:rsidRPr="00746440" w:rsidRDefault="00605828" w:rsidP="00257454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How to share their ideas and reflections about </w:t>
            </w:r>
            <w:proofErr w:type="spellStart"/>
            <w:r>
              <w:rPr>
                <w:rFonts w:ascii="Times New Roman" w:hAnsi="Times New Roman"/>
                <w:szCs w:val="24"/>
              </w:rPr>
              <w:t>textg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they have read.  </w:t>
            </w: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02" w:rsidRPr="00C96694" w:rsidRDefault="003D5402" w:rsidP="00C96694">
            <w:pPr>
              <w:rPr>
                <w:rFonts w:ascii="Times New Roman" w:hAnsi="Times New Roman"/>
                <w:b/>
              </w:rPr>
            </w:pPr>
          </w:p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  <w:p w:rsidR="00433344" w:rsidRDefault="00433344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At the end of the book, students will write a short summary and reflection about their thinking about the book.  They will share this thinking with others in some way they choose. (poster, skit, book jacket, etc)</w:t>
            </w:r>
          </w:p>
          <w:p w:rsidR="003D5402" w:rsidRPr="00746440" w:rsidRDefault="003D5402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433344" w:rsidRDefault="00FC0496" w:rsidP="00433344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  <w:r w:rsidR="00433344">
              <w:rPr>
                <w:rFonts w:ascii="Times New Roman" w:hAnsi="Times New Roman"/>
                <w:szCs w:val="24"/>
              </w:rPr>
              <w:t xml:space="preserve"> </w:t>
            </w:r>
          </w:p>
          <w:p w:rsidR="00433344" w:rsidRDefault="00433344" w:rsidP="00433344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They will share this thinking with others in some way they choose. (poster, skit, book jacket, etc) These </w:t>
            </w:r>
            <w:proofErr w:type="gramStart"/>
            <w:r>
              <w:rPr>
                <w:rFonts w:ascii="Times New Roman" w:hAnsi="Times New Roman"/>
                <w:szCs w:val="24"/>
              </w:rPr>
              <w:t>will be shared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in our classroom.  If possible, we will </w:t>
            </w:r>
            <w:proofErr w:type="spellStart"/>
            <w:r>
              <w:rPr>
                <w:rFonts w:ascii="Times New Roman" w:hAnsi="Times New Roman"/>
                <w:szCs w:val="24"/>
              </w:rPr>
              <w:t>skype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with Wagner to share some of the projects.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Pr="00746440" w:rsidRDefault="00ED6987" w:rsidP="00257454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48AD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 xml:space="preserve">What learning activities </w:t>
            </w:r>
            <w:proofErr w:type="gramStart"/>
            <w:r>
              <w:rPr>
                <w:rFonts w:ascii="Times New Roman" w:hAnsi="Times New Roman"/>
                <w:szCs w:val="24"/>
              </w:rPr>
              <w:t>will be used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to carry out the collaborative project?)</w:t>
            </w:r>
          </w:p>
          <w:p w:rsidR="00433344" w:rsidRDefault="00433344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We will be reading aloud the book, The Miraculous Journey of Edward Tulane by Kate Di </w:t>
            </w:r>
            <w:proofErr w:type="spellStart"/>
            <w:r>
              <w:rPr>
                <w:rFonts w:ascii="Times New Roman" w:hAnsi="Times New Roman"/>
                <w:szCs w:val="24"/>
              </w:rPr>
              <w:t>Camillo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</w:t>
            </w:r>
          </w:p>
          <w:p w:rsidR="00433344" w:rsidRDefault="00433344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Following each reading, we will brainstorm as a class the main events that happened in the reading.</w:t>
            </w:r>
          </w:p>
          <w:p w:rsidR="00433344" w:rsidRPr="00ED6987" w:rsidRDefault="00433344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We </w:t>
            </w:r>
            <w:proofErr w:type="gramStart"/>
            <w:r>
              <w:rPr>
                <w:rFonts w:ascii="Times New Roman" w:hAnsi="Times New Roman"/>
                <w:szCs w:val="24"/>
              </w:rPr>
              <w:t>will then, as a large group class with teacher typing on large screen, compose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a summary and reflection to share on the blog.  </w:t>
            </w:r>
          </w:p>
        </w:tc>
      </w:tr>
    </w:tbl>
    <w:p w:rsidR="00904AF6" w:rsidRPr="00112F95" w:rsidRDefault="00904AF6" w:rsidP="00277AED">
      <w:pPr>
        <w:ind w:right="-720"/>
      </w:pPr>
      <w:r>
        <w:t>.</w:t>
      </w:r>
    </w:p>
    <w:sectPr w:rsidR="00904AF6" w:rsidRPr="00112F95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BED"/>
    <w:multiLevelType w:val="hybridMultilevel"/>
    <w:tmpl w:val="1CBA7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765DC6"/>
    <w:multiLevelType w:val="hybridMultilevel"/>
    <w:tmpl w:val="68EEF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27F98"/>
    <w:rsid w:val="0004029B"/>
    <w:rsid w:val="00040B98"/>
    <w:rsid w:val="000F6394"/>
    <w:rsid w:val="00112F95"/>
    <w:rsid w:val="001637E3"/>
    <w:rsid w:val="00170748"/>
    <w:rsid w:val="00182350"/>
    <w:rsid w:val="001A3619"/>
    <w:rsid w:val="002124B2"/>
    <w:rsid w:val="00252431"/>
    <w:rsid w:val="00255FEC"/>
    <w:rsid w:val="00257454"/>
    <w:rsid w:val="00277AED"/>
    <w:rsid w:val="0028164F"/>
    <w:rsid w:val="002A3963"/>
    <w:rsid w:val="002E10E3"/>
    <w:rsid w:val="00324685"/>
    <w:rsid w:val="00354C6B"/>
    <w:rsid w:val="00357FCE"/>
    <w:rsid w:val="003D5402"/>
    <w:rsid w:val="004030F6"/>
    <w:rsid w:val="00433344"/>
    <w:rsid w:val="00433AA2"/>
    <w:rsid w:val="004F604B"/>
    <w:rsid w:val="00514545"/>
    <w:rsid w:val="00530C32"/>
    <w:rsid w:val="005364B0"/>
    <w:rsid w:val="00546A57"/>
    <w:rsid w:val="00567F92"/>
    <w:rsid w:val="005B4A19"/>
    <w:rsid w:val="00600AAD"/>
    <w:rsid w:val="00605828"/>
    <w:rsid w:val="0061037D"/>
    <w:rsid w:val="00617098"/>
    <w:rsid w:val="00634C5B"/>
    <w:rsid w:val="006648AD"/>
    <w:rsid w:val="006D54E0"/>
    <w:rsid w:val="00746440"/>
    <w:rsid w:val="007959DD"/>
    <w:rsid w:val="007D6CEE"/>
    <w:rsid w:val="007F0F5E"/>
    <w:rsid w:val="008019C8"/>
    <w:rsid w:val="00812323"/>
    <w:rsid w:val="0081300F"/>
    <w:rsid w:val="00813B95"/>
    <w:rsid w:val="00816CDC"/>
    <w:rsid w:val="00830A3F"/>
    <w:rsid w:val="00851F6D"/>
    <w:rsid w:val="00853EBB"/>
    <w:rsid w:val="008E7FA2"/>
    <w:rsid w:val="00904AF6"/>
    <w:rsid w:val="00996F1F"/>
    <w:rsid w:val="009A272D"/>
    <w:rsid w:val="009A4203"/>
    <w:rsid w:val="009B0B58"/>
    <w:rsid w:val="009C457D"/>
    <w:rsid w:val="00A04D5A"/>
    <w:rsid w:val="00A2426F"/>
    <w:rsid w:val="00A74433"/>
    <w:rsid w:val="00AD061D"/>
    <w:rsid w:val="00AE4968"/>
    <w:rsid w:val="00B04D59"/>
    <w:rsid w:val="00B548B2"/>
    <w:rsid w:val="00B70C55"/>
    <w:rsid w:val="00B80349"/>
    <w:rsid w:val="00BD6AC2"/>
    <w:rsid w:val="00BF230C"/>
    <w:rsid w:val="00C96694"/>
    <w:rsid w:val="00CA64AB"/>
    <w:rsid w:val="00D12D63"/>
    <w:rsid w:val="00D351F7"/>
    <w:rsid w:val="00D84FF6"/>
    <w:rsid w:val="00DC242C"/>
    <w:rsid w:val="00DC3700"/>
    <w:rsid w:val="00DF0624"/>
    <w:rsid w:val="00E541A4"/>
    <w:rsid w:val="00E86039"/>
    <w:rsid w:val="00EA5616"/>
    <w:rsid w:val="00ED6987"/>
    <w:rsid w:val="00EE3F53"/>
    <w:rsid w:val="00F33819"/>
    <w:rsid w:val="00F33AFF"/>
    <w:rsid w:val="00F534B5"/>
    <w:rsid w:val="00FA2E67"/>
    <w:rsid w:val="00FA37E9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57FCE"/>
    <w:rPr>
      <w:rFonts w:ascii="Times New Roman" w:hAnsi="Times New Roman"/>
      <w:b/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57FCE"/>
    <w:rPr>
      <w:b/>
      <w:bCs/>
      <w:sz w:val="24"/>
      <w:szCs w:val="24"/>
    </w:rPr>
  </w:style>
  <w:style w:type="paragraph" w:customStyle="1" w:styleId="Default">
    <w:name w:val="Default"/>
    <w:rsid w:val="00546A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hyperlink" Target="http://wswagnerreading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gwynethwitte</cp:lastModifiedBy>
  <cp:revision>5</cp:revision>
  <cp:lastPrinted>2010-11-30T20:59:00Z</cp:lastPrinted>
  <dcterms:created xsi:type="dcterms:W3CDTF">2011-05-10T20:42:00Z</dcterms:created>
  <dcterms:modified xsi:type="dcterms:W3CDTF">2011-05-11T00:10:00Z</dcterms:modified>
</cp:coreProperties>
</file>